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565E7C5E" w:rsidR="006E4C07" w:rsidRPr="00A473DC" w:rsidRDefault="0023362D" w:rsidP="00CA4ABE">
      <w:pPr>
        <w:pStyle w:val="berschrift1"/>
        <w:ind w:left="1276"/>
        <w:rPr>
          <w:sz w:val="32"/>
        </w:rPr>
      </w:pPr>
      <w:r w:rsidRPr="00A473DC">
        <w:rPr>
          <w:sz w:val="32"/>
        </w:rPr>
        <w:t>A</w:t>
      </w:r>
      <w:r w:rsidR="00A44FB2">
        <w:rPr>
          <w:sz w:val="32"/>
        </w:rPr>
        <w:t>11</w:t>
      </w:r>
    </w:p>
    <w:p w14:paraId="48493EDC" w14:textId="6F121EE5" w:rsidR="00A82DBD" w:rsidRPr="00A473DC" w:rsidRDefault="00A44FB2" w:rsidP="00A82DBD">
      <w:pPr>
        <w:ind w:left="1276"/>
        <w:rPr>
          <w:b/>
          <w:sz w:val="32"/>
          <w:szCs w:val="32"/>
        </w:rPr>
      </w:pPr>
      <w:r>
        <w:rPr>
          <w:b/>
          <w:sz w:val="32"/>
          <w:szCs w:val="32"/>
        </w:rPr>
        <w:t>Schule der Zukunft</w:t>
      </w:r>
    </w:p>
    <w:p w14:paraId="3CFD61BA" w14:textId="77777777" w:rsidR="006E4C07" w:rsidRPr="00A473DC" w:rsidRDefault="006E4C07" w:rsidP="00CA4ABE">
      <w:pPr>
        <w:tabs>
          <w:tab w:val="left" w:pos="3480"/>
        </w:tabs>
        <w:ind w:left="1276" w:right="964"/>
        <w:rPr>
          <w:sz w:val="24"/>
        </w:rPr>
      </w:pPr>
    </w:p>
    <w:p w14:paraId="5F9AF44F" w14:textId="75663D84"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A44FB2" w:rsidRPr="00A44FB2">
        <w:rPr>
          <w:b/>
          <w:bCs/>
          <w:sz w:val="24"/>
        </w:rPr>
        <w:t>Jusos</w:t>
      </w:r>
    </w:p>
    <w:p w14:paraId="569B6F70" w14:textId="77777777" w:rsidR="006E4C07" w:rsidRPr="008F03DF" w:rsidRDefault="006E4C07" w:rsidP="00A82DBD">
      <w:pPr>
        <w:tabs>
          <w:tab w:val="left" w:pos="2977"/>
        </w:tabs>
        <w:ind w:left="1276" w:right="964"/>
        <w:rPr>
          <w:b/>
          <w:bCs/>
        </w:rPr>
      </w:pPr>
    </w:p>
    <w:p w14:paraId="240EF561" w14:textId="487E4D36" w:rsidR="00A82DBD" w:rsidRPr="008F03DF" w:rsidRDefault="006E4C07" w:rsidP="0023362D">
      <w:pPr>
        <w:tabs>
          <w:tab w:val="left" w:pos="2977"/>
        </w:tabs>
        <w:ind w:left="568" w:firstLine="708"/>
        <w:rPr>
          <w:b/>
          <w:bCs/>
          <w:sz w:val="24"/>
          <w:szCs w:val="24"/>
        </w:rPr>
      </w:pPr>
      <w:r w:rsidRPr="008F03DF">
        <w:rPr>
          <w:b/>
          <w:bCs/>
          <w:sz w:val="24"/>
        </w:rPr>
        <w:t>Adressat:</w:t>
      </w:r>
      <w:r w:rsidR="007879A9" w:rsidRPr="008F03DF">
        <w:rPr>
          <w:b/>
          <w:bCs/>
          <w:sz w:val="24"/>
        </w:rPr>
        <w:t xml:space="preserve"> </w:t>
      </w:r>
      <w:r w:rsidR="00A82DBD" w:rsidRPr="008F03DF">
        <w:rPr>
          <w:b/>
          <w:bCs/>
          <w:sz w:val="24"/>
        </w:rPr>
        <w:tab/>
      </w:r>
      <w:r w:rsidR="00A010EF">
        <w:rPr>
          <w:b/>
          <w:bCs/>
          <w:sz w:val="24"/>
        </w:rPr>
        <w:t>Ratsfraktion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7D125757" w14:textId="0C24CF6D" w:rsidR="00A44FB2" w:rsidRPr="00A44FB2" w:rsidRDefault="00A44FB2" w:rsidP="00A44FB2">
      <w:pPr>
        <w:spacing w:line="360" w:lineRule="auto"/>
        <w:jc w:val="both"/>
        <w:rPr>
          <w:sz w:val="20"/>
          <w:lang w:eastAsia="en-US"/>
        </w:rPr>
      </w:pPr>
      <w:r w:rsidRPr="00A44FB2">
        <w:rPr>
          <w:sz w:val="20"/>
          <w:lang w:eastAsia="en-US"/>
        </w:rPr>
        <w:t>Die Jusos stellen den Antrag, dass in Anbetracht der steigenden Anforderungen an das System Schule selbiges durch den Einsatz verschiedener Professionen zu entlasten. Schulsozialarbeiter unterstützen in Schulen bspw. beim sozialen Lernen oder beim Stellen von Anträgen, aber auch als Kontaktpersonen zu den städtischen Ämtern. Die aufgezählten Bereiche decken einen Teil der Aufgaben ab. Ein weiterer Teil ist die individuelle Beratung. In diesem Feld wird die Sozialarbeit, sofern ständig vorhanden, von Lehrer:innen unterstützt. Lehrer:innen decken noch mindestens folgende Bereiche ab: Schülerverwaltung, Schülerberatung, Elternberatung, Planung und Durchführung von Fahrten und Ausflügen, Planung und Entwicklung sowie Evaluation von Lehrplänen und Schulprogrammen, Hilfe bei IT-Problemen, Vertrauensperson, Erziehung usw. Zudem kommt der Unterricht und alles was dazu gehört, z.B. je nach Fach bis zu 150 Klassenarbeiten pro Durchgang.</w:t>
      </w:r>
    </w:p>
    <w:p w14:paraId="43ADAF26" w14:textId="77777777" w:rsidR="00A44FB2" w:rsidRPr="00A44FB2" w:rsidRDefault="00A44FB2" w:rsidP="00A44FB2">
      <w:pPr>
        <w:overflowPunct/>
        <w:autoSpaceDE/>
        <w:autoSpaceDN/>
        <w:adjustRightInd/>
        <w:spacing w:line="360" w:lineRule="auto"/>
        <w:jc w:val="both"/>
        <w:textAlignment w:val="auto"/>
        <w:rPr>
          <w:rFonts w:eastAsia="Calibri"/>
          <w:sz w:val="20"/>
          <w:lang w:eastAsia="en-US"/>
        </w:rPr>
      </w:pPr>
      <w:r w:rsidRPr="00A44FB2">
        <w:rPr>
          <w:sz w:val="20"/>
          <w:lang w:eastAsia="en-US"/>
        </w:rPr>
        <w:t>Folglich wird das System den Hauptakteuren nicht gerecht - den Schüler:innen.</w:t>
      </w:r>
    </w:p>
    <w:p w14:paraId="79251919" w14:textId="77777777" w:rsidR="00A44FB2" w:rsidRPr="00A44FB2" w:rsidRDefault="00A44FB2" w:rsidP="00A44FB2">
      <w:pPr>
        <w:overflowPunct/>
        <w:autoSpaceDE/>
        <w:autoSpaceDN/>
        <w:adjustRightInd/>
        <w:spacing w:line="360" w:lineRule="auto"/>
        <w:jc w:val="both"/>
        <w:textAlignment w:val="auto"/>
        <w:rPr>
          <w:rFonts w:eastAsia="Calibri"/>
          <w:sz w:val="20"/>
          <w:lang w:eastAsia="en-US"/>
        </w:rPr>
      </w:pPr>
    </w:p>
    <w:p w14:paraId="1159D185" w14:textId="3E38E34B" w:rsidR="00A44FB2" w:rsidRDefault="00A44FB2" w:rsidP="00B7548D">
      <w:pPr>
        <w:overflowPunct/>
        <w:autoSpaceDE/>
        <w:autoSpaceDN/>
        <w:adjustRightInd/>
        <w:spacing w:line="360" w:lineRule="auto"/>
        <w:jc w:val="both"/>
        <w:textAlignment w:val="auto"/>
        <w:rPr>
          <w:rFonts w:eastAsia="Calibri"/>
          <w:sz w:val="20"/>
          <w:lang w:eastAsia="en-US"/>
        </w:rPr>
      </w:pPr>
      <w:r w:rsidRPr="00A44FB2">
        <w:rPr>
          <w:rFonts w:eastAsia="Calibri"/>
          <w:sz w:val="20"/>
          <w:lang w:eastAsia="en-US"/>
        </w:rPr>
        <w:t xml:space="preserve">Die Jusos fordern, dass sich die SPD Remscheid für die Entwicklung und Umsetzung eines Konzepts für das System „Schule der Zukunft“ auf kommunaler Ebene, Landesebene und Bundesebene einsetzt. </w:t>
      </w:r>
      <w:r w:rsidR="00B7548D" w:rsidRPr="00B7548D">
        <w:rPr>
          <w:rFonts w:eastAsia="Calibri"/>
          <w:sz w:val="20"/>
          <w:lang w:eastAsia="en-US"/>
        </w:rPr>
        <w:t>Das Konzept soll die Einrichtung eines Kompetenzteams, bestehend aus den folgenden Bereichen, beinhalten</w:t>
      </w:r>
      <w:r w:rsidR="00B7548D">
        <w:rPr>
          <w:rFonts w:eastAsia="Calibri"/>
          <w:sz w:val="20"/>
          <w:lang w:eastAsia="en-US"/>
        </w:rPr>
        <w:t>:</w:t>
      </w:r>
    </w:p>
    <w:p w14:paraId="27747DC1" w14:textId="77777777" w:rsidR="00B7548D" w:rsidRPr="00A44FB2" w:rsidRDefault="00B7548D" w:rsidP="00B7548D">
      <w:pPr>
        <w:overflowPunct/>
        <w:autoSpaceDE/>
        <w:autoSpaceDN/>
        <w:adjustRightInd/>
        <w:spacing w:line="360" w:lineRule="auto"/>
        <w:jc w:val="both"/>
        <w:textAlignment w:val="auto"/>
        <w:rPr>
          <w:rFonts w:eastAsia="Calibri"/>
          <w:sz w:val="20"/>
          <w:lang w:eastAsia="en-US"/>
        </w:rPr>
      </w:pPr>
    </w:p>
    <w:p w14:paraId="3DC78DD2" w14:textId="77777777" w:rsidR="00A44FB2" w:rsidRPr="00A44FB2" w:rsidRDefault="00A44FB2" w:rsidP="00A44FB2">
      <w:pPr>
        <w:numPr>
          <w:ilvl w:val="0"/>
          <w:numId w:val="11"/>
        </w:numPr>
        <w:overflowPunct/>
        <w:autoSpaceDE/>
        <w:autoSpaceDN/>
        <w:adjustRightInd/>
        <w:spacing w:line="360" w:lineRule="auto"/>
        <w:jc w:val="both"/>
        <w:textAlignment w:val="auto"/>
        <w:rPr>
          <w:rFonts w:eastAsia="Calibri"/>
          <w:sz w:val="20"/>
          <w:lang w:eastAsia="en-US"/>
        </w:rPr>
      </w:pPr>
      <w:r w:rsidRPr="00A44FB2">
        <w:rPr>
          <w:rFonts w:eastAsia="Calibri"/>
          <w:sz w:val="20"/>
          <w:lang w:eastAsia="en-US"/>
        </w:rPr>
        <w:t>IT-Fachpersonal:</w:t>
      </w:r>
    </w:p>
    <w:p w14:paraId="2B98751A"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r w:rsidRPr="00A44FB2">
        <w:rPr>
          <w:rFonts w:eastAsia="Calibri"/>
          <w:sz w:val="20"/>
          <w:lang w:eastAsia="en-US"/>
        </w:rPr>
        <w:t>Es sollen ausreichend IT-Fachkräfte für den First-Level-Support an den Schulen arbeiten, die die zunehmende Anzahl an Endgeräten fachgerecht betreuen.</w:t>
      </w:r>
    </w:p>
    <w:p w14:paraId="12D128AF"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p>
    <w:p w14:paraId="7D128AED" w14:textId="77777777" w:rsidR="00A44FB2" w:rsidRPr="00A44FB2" w:rsidRDefault="00A44FB2" w:rsidP="00A44FB2">
      <w:pPr>
        <w:numPr>
          <w:ilvl w:val="0"/>
          <w:numId w:val="11"/>
        </w:numPr>
        <w:overflowPunct/>
        <w:autoSpaceDE/>
        <w:autoSpaceDN/>
        <w:adjustRightInd/>
        <w:spacing w:line="360" w:lineRule="auto"/>
        <w:jc w:val="both"/>
        <w:textAlignment w:val="auto"/>
        <w:rPr>
          <w:rFonts w:eastAsia="Calibri"/>
          <w:sz w:val="20"/>
          <w:lang w:eastAsia="en-US"/>
        </w:rPr>
      </w:pPr>
      <w:r w:rsidRPr="00A44FB2">
        <w:rPr>
          <w:rFonts w:eastAsia="Calibri"/>
          <w:sz w:val="20"/>
          <w:lang w:eastAsia="en-US"/>
        </w:rPr>
        <w:t>Psychologische Fachberatung:</w:t>
      </w:r>
    </w:p>
    <w:p w14:paraId="4B689FA2"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r w:rsidRPr="00A44FB2">
        <w:rPr>
          <w:rFonts w:eastAsia="Calibri"/>
          <w:sz w:val="20"/>
          <w:lang w:eastAsia="en-US"/>
        </w:rPr>
        <w:t>Für Schüler:innen und Lehrkräfte soll es ein regelmäßiges Beratungsangebot geben.</w:t>
      </w:r>
    </w:p>
    <w:p w14:paraId="07C0D54F"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p>
    <w:p w14:paraId="0BC3E7CF" w14:textId="77777777" w:rsidR="00A44FB2" w:rsidRPr="00A44FB2" w:rsidRDefault="00A44FB2" w:rsidP="00A44FB2">
      <w:pPr>
        <w:numPr>
          <w:ilvl w:val="0"/>
          <w:numId w:val="11"/>
        </w:numPr>
        <w:overflowPunct/>
        <w:autoSpaceDE/>
        <w:autoSpaceDN/>
        <w:adjustRightInd/>
        <w:spacing w:line="360" w:lineRule="auto"/>
        <w:jc w:val="both"/>
        <w:textAlignment w:val="auto"/>
        <w:rPr>
          <w:rFonts w:eastAsia="Calibri"/>
          <w:sz w:val="20"/>
          <w:lang w:eastAsia="en-US"/>
        </w:rPr>
      </w:pPr>
      <w:r w:rsidRPr="00A44FB2">
        <w:rPr>
          <w:rFonts w:eastAsia="Calibri"/>
          <w:sz w:val="20"/>
          <w:lang w:eastAsia="en-US"/>
        </w:rPr>
        <w:t>Verwaltung:</w:t>
      </w:r>
    </w:p>
    <w:p w14:paraId="75A094D6"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r w:rsidRPr="00A44FB2">
        <w:rPr>
          <w:rFonts w:eastAsia="Calibri"/>
          <w:sz w:val="20"/>
          <w:lang w:eastAsia="en-US"/>
        </w:rPr>
        <w:lastRenderedPageBreak/>
        <w:t>Zusätzliche Mitarbeiter in der Verwaltung sollen die Lehrkräfte bei Verwaltungsaufgaben wie Kooperationen mit Vereinen und Ausbildungsbetrieben unterstützen.</w:t>
      </w:r>
    </w:p>
    <w:p w14:paraId="2C7ACF21" w14:textId="77777777" w:rsidR="00A44FB2" w:rsidRPr="00A44FB2" w:rsidRDefault="00A44FB2" w:rsidP="00A44FB2">
      <w:pPr>
        <w:overflowPunct/>
        <w:autoSpaceDE/>
        <w:autoSpaceDN/>
        <w:adjustRightInd/>
        <w:spacing w:line="360" w:lineRule="auto"/>
        <w:ind w:left="720"/>
        <w:contextualSpacing/>
        <w:jc w:val="both"/>
        <w:textAlignment w:val="auto"/>
        <w:rPr>
          <w:rFonts w:eastAsia="Calibri"/>
          <w:sz w:val="20"/>
          <w:lang w:eastAsia="en-US"/>
        </w:rPr>
      </w:pPr>
    </w:p>
    <w:p w14:paraId="7E68E25A" w14:textId="77777777" w:rsidR="00A44FB2" w:rsidRPr="00A44FB2" w:rsidRDefault="00A44FB2" w:rsidP="00A44FB2">
      <w:pPr>
        <w:numPr>
          <w:ilvl w:val="0"/>
          <w:numId w:val="11"/>
        </w:numPr>
        <w:overflowPunct/>
        <w:autoSpaceDE/>
        <w:autoSpaceDN/>
        <w:adjustRightInd/>
        <w:spacing w:line="360" w:lineRule="auto"/>
        <w:jc w:val="both"/>
        <w:textAlignment w:val="auto"/>
        <w:rPr>
          <w:rFonts w:eastAsia="Calibri"/>
          <w:sz w:val="20"/>
          <w:lang w:eastAsia="en-US"/>
        </w:rPr>
      </w:pPr>
      <w:r w:rsidRPr="00A44FB2">
        <w:rPr>
          <w:rFonts w:eastAsia="Calibri"/>
          <w:sz w:val="20"/>
          <w:lang w:eastAsia="en-US"/>
        </w:rPr>
        <w:t>Sonderpädagogen:</w:t>
      </w:r>
    </w:p>
    <w:p w14:paraId="18C08DD6"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r w:rsidRPr="00A44FB2">
        <w:rPr>
          <w:rFonts w:eastAsia="Calibri"/>
          <w:sz w:val="20"/>
          <w:lang w:eastAsia="en-US"/>
        </w:rPr>
        <w:t>An den Schulen soll ein ausreichendes Angebot von Sonderpädagogen vorhanden sein, dass den betroffenen Schüler:innen gerecht wird.</w:t>
      </w:r>
    </w:p>
    <w:p w14:paraId="2E0DF707" w14:textId="77777777" w:rsidR="00A44FB2" w:rsidRPr="00A44FB2" w:rsidRDefault="00A44FB2" w:rsidP="00A44FB2">
      <w:pPr>
        <w:overflowPunct/>
        <w:autoSpaceDE/>
        <w:autoSpaceDN/>
        <w:adjustRightInd/>
        <w:spacing w:line="360" w:lineRule="auto"/>
        <w:ind w:left="720"/>
        <w:contextualSpacing/>
        <w:jc w:val="both"/>
        <w:textAlignment w:val="auto"/>
        <w:rPr>
          <w:rFonts w:eastAsia="Calibri"/>
          <w:sz w:val="20"/>
          <w:lang w:eastAsia="en-US"/>
        </w:rPr>
      </w:pPr>
    </w:p>
    <w:p w14:paraId="68CA886E" w14:textId="77777777" w:rsidR="00A44FB2" w:rsidRPr="00A44FB2" w:rsidRDefault="00A44FB2" w:rsidP="00A44FB2">
      <w:pPr>
        <w:numPr>
          <w:ilvl w:val="0"/>
          <w:numId w:val="11"/>
        </w:numPr>
        <w:overflowPunct/>
        <w:autoSpaceDE/>
        <w:autoSpaceDN/>
        <w:adjustRightInd/>
        <w:spacing w:line="360" w:lineRule="auto"/>
        <w:jc w:val="both"/>
        <w:textAlignment w:val="auto"/>
        <w:rPr>
          <w:rFonts w:eastAsia="Calibri"/>
          <w:sz w:val="20"/>
          <w:lang w:eastAsia="en-US"/>
        </w:rPr>
      </w:pPr>
      <w:r w:rsidRPr="00A44FB2">
        <w:rPr>
          <w:rFonts w:eastAsia="Calibri"/>
          <w:sz w:val="20"/>
          <w:lang w:eastAsia="en-US"/>
        </w:rPr>
        <w:t>Ergo-, Logopädie und motorische Therapie:</w:t>
      </w:r>
    </w:p>
    <w:p w14:paraId="3CE0C957" w14:textId="77777777" w:rsidR="00A44FB2" w:rsidRPr="00A44FB2" w:rsidRDefault="00A44FB2" w:rsidP="00A44FB2">
      <w:pPr>
        <w:overflowPunct/>
        <w:autoSpaceDE/>
        <w:autoSpaceDN/>
        <w:adjustRightInd/>
        <w:spacing w:line="360" w:lineRule="auto"/>
        <w:ind w:left="720"/>
        <w:jc w:val="both"/>
        <w:textAlignment w:val="auto"/>
        <w:rPr>
          <w:rFonts w:eastAsia="Calibri"/>
          <w:sz w:val="20"/>
          <w:lang w:eastAsia="en-US"/>
        </w:rPr>
      </w:pPr>
      <w:r w:rsidRPr="00A44FB2">
        <w:rPr>
          <w:rFonts w:eastAsia="Calibri"/>
          <w:sz w:val="20"/>
          <w:lang w:eastAsia="en-US"/>
        </w:rPr>
        <w:t>Für eine optimale Therapie von Schüler:innen mit zusätzlichem Förderbedarf soll es eine schulnahe Therapie geben.</w:t>
      </w:r>
    </w:p>
    <w:p w14:paraId="1698DF3B" w14:textId="77777777" w:rsidR="00A44FB2" w:rsidRPr="00A44FB2" w:rsidRDefault="00A44FB2" w:rsidP="00A44FB2">
      <w:pPr>
        <w:overflowPunct/>
        <w:autoSpaceDE/>
        <w:autoSpaceDN/>
        <w:adjustRightInd/>
        <w:spacing w:line="360" w:lineRule="auto"/>
        <w:jc w:val="both"/>
        <w:textAlignment w:val="auto"/>
        <w:rPr>
          <w:rFonts w:eastAsia="Calibri"/>
          <w:sz w:val="20"/>
          <w:lang w:eastAsia="en-US"/>
        </w:rPr>
      </w:pPr>
    </w:p>
    <w:p w14:paraId="01B89EFF" w14:textId="77777777" w:rsidR="00A44FB2" w:rsidRPr="00A44FB2" w:rsidRDefault="00A44FB2" w:rsidP="00A44FB2">
      <w:pPr>
        <w:overflowPunct/>
        <w:autoSpaceDE/>
        <w:autoSpaceDN/>
        <w:adjustRightInd/>
        <w:spacing w:line="360" w:lineRule="auto"/>
        <w:jc w:val="both"/>
        <w:textAlignment w:val="auto"/>
        <w:rPr>
          <w:rFonts w:eastAsia="Calibri"/>
          <w:sz w:val="20"/>
          <w:lang w:eastAsia="en-US"/>
        </w:rPr>
      </w:pPr>
    </w:p>
    <w:p w14:paraId="150E4CE4" w14:textId="1D38E44C" w:rsidR="00A44FB2" w:rsidRPr="00A44FB2" w:rsidRDefault="00A44FB2" w:rsidP="00A44FB2">
      <w:pPr>
        <w:overflowPunct/>
        <w:autoSpaceDE/>
        <w:autoSpaceDN/>
        <w:adjustRightInd/>
        <w:spacing w:line="360" w:lineRule="auto"/>
        <w:jc w:val="both"/>
        <w:textAlignment w:val="auto"/>
        <w:rPr>
          <w:rFonts w:eastAsia="Calibri"/>
          <w:sz w:val="20"/>
          <w:lang w:eastAsia="en-US"/>
        </w:rPr>
      </w:pPr>
      <w:r w:rsidRPr="00A44FB2">
        <w:rPr>
          <w:rFonts w:eastAsia="Calibri"/>
          <w:sz w:val="20"/>
          <w:u w:val="single"/>
          <w:lang w:eastAsia="en-US"/>
        </w:rPr>
        <w:t>Begründung</w:t>
      </w:r>
      <w:r w:rsidRPr="00A44FB2">
        <w:rPr>
          <w:rFonts w:eastAsia="Calibri"/>
          <w:sz w:val="20"/>
          <w:lang w:eastAsia="en-US"/>
        </w:rPr>
        <w:t>:</w:t>
      </w:r>
    </w:p>
    <w:p w14:paraId="60A88E62" w14:textId="77777777" w:rsidR="00A44FB2" w:rsidRPr="00A44FB2" w:rsidRDefault="00A44FB2" w:rsidP="00A44FB2">
      <w:pPr>
        <w:overflowPunct/>
        <w:autoSpaceDE/>
        <w:autoSpaceDN/>
        <w:adjustRightInd/>
        <w:spacing w:line="360" w:lineRule="auto"/>
        <w:jc w:val="both"/>
        <w:textAlignment w:val="auto"/>
        <w:rPr>
          <w:sz w:val="20"/>
          <w:lang w:eastAsia="en-US"/>
        </w:rPr>
      </w:pPr>
      <w:r w:rsidRPr="00A44FB2">
        <w:rPr>
          <w:sz w:val="20"/>
          <w:lang w:eastAsia="en-US"/>
        </w:rPr>
        <w:t xml:space="preserve">An Schulen fehlt es an verschiedenen Professionen: </w:t>
      </w:r>
    </w:p>
    <w:p w14:paraId="3D6B3159" w14:textId="77777777" w:rsidR="00A44FB2" w:rsidRPr="00A44FB2" w:rsidRDefault="00A44FB2" w:rsidP="00A44FB2">
      <w:pPr>
        <w:numPr>
          <w:ilvl w:val="0"/>
          <w:numId w:val="12"/>
        </w:numPr>
        <w:overflowPunct/>
        <w:autoSpaceDE/>
        <w:autoSpaceDN/>
        <w:adjustRightInd/>
        <w:spacing w:line="360" w:lineRule="auto"/>
        <w:contextualSpacing/>
        <w:jc w:val="both"/>
        <w:textAlignment w:val="auto"/>
        <w:rPr>
          <w:b/>
          <w:sz w:val="20"/>
          <w:lang w:eastAsia="en-US"/>
        </w:rPr>
      </w:pPr>
      <w:r w:rsidRPr="00A44FB2">
        <w:rPr>
          <w:b/>
          <w:sz w:val="20"/>
          <w:lang w:eastAsia="en-US"/>
        </w:rPr>
        <w:t>IT-Fachpersonal:</w:t>
      </w:r>
    </w:p>
    <w:p w14:paraId="545104D0" w14:textId="77777777" w:rsidR="00A44FB2" w:rsidRPr="00A44FB2" w:rsidRDefault="00A44FB2" w:rsidP="00A44FB2">
      <w:pPr>
        <w:overflowPunct/>
        <w:autoSpaceDE/>
        <w:autoSpaceDN/>
        <w:adjustRightInd/>
        <w:spacing w:line="360" w:lineRule="auto"/>
        <w:ind w:left="720"/>
        <w:contextualSpacing/>
        <w:jc w:val="both"/>
        <w:textAlignment w:val="auto"/>
        <w:rPr>
          <w:sz w:val="20"/>
          <w:lang w:eastAsia="en-US"/>
        </w:rPr>
      </w:pPr>
      <w:r w:rsidRPr="00A44FB2">
        <w:rPr>
          <w:sz w:val="20"/>
          <w:lang w:eastAsia="en-US"/>
        </w:rPr>
        <w:t>An Schulen arbeiten je nach Größe von 180 (kleine Grundschulen) bis 1800 (große Kollegs und Gesamtschulen) Menschen. Möglichst bald haben alle technische Endgeräte. In vielen Fällen müssen Lehrkräfte diesen Bereich mitbetreuen.</w:t>
      </w:r>
    </w:p>
    <w:p w14:paraId="43328577" w14:textId="77777777" w:rsidR="00A44FB2" w:rsidRPr="00A44FB2" w:rsidRDefault="00A44FB2" w:rsidP="00A44FB2">
      <w:pPr>
        <w:overflowPunct/>
        <w:autoSpaceDE/>
        <w:autoSpaceDN/>
        <w:adjustRightInd/>
        <w:spacing w:line="360" w:lineRule="auto"/>
        <w:ind w:left="720"/>
        <w:contextualSpacing/>
        <w:jc w:val="both"/>
        <w:textAlignment w:val="auto"/>
        <w:rPr>
          <w:sz w:val="20"/>
          <w:lang w:eastAsia="en-US"/>
        </w:rPr>
      </w:pPr>
    </w:p>
    <w:p w14:paraId="04370146" w14:textId="77777777" w:rsidR="00A44FB2" w:rsidRPr="00A44FB2" w:rsidRDefault="00A44FB2" w:rsidP="00A44FB2">
      <w:pPr>
        <w:numPr>
          <w:ilvl w:val="0"/>
          <w:numId w:val="12"/>
        </w:numPr>
        <w:overflowPunct/>
        <w:autoSpaceDE/>
        <w:autoSpaceDN/>
        <w:adjustRightInd/>
        <w:spacing w:line="360" w:lineRule="auto"/>
        <w:contextualSpacing/>
        <w:jc w:val="both"/>
        <w:textAlignment w:val="auto"/>
        <w:rPr>
          <w:sz w:val="20"/>
          <w:lang w:eastAsia="en-US"/>
        </w:rPr>
      </w:pPr>
      <w:r w:rsidRPr="00A44FB2">
        <w:rPr>
          <w:b/>
          <w:sz w:val="20"/>
          <w:lang w:eastAsia="en-US"/>
        </w:rPr>
        <w:t>Psychologische Fachberatung:</w:t>
      </w:r>
    </w:p>
    <w:p w14:paraId="4D388224" w14:textId="77777777" w:rsidR="00A44FB2" w:rsidRPr="00A44FB2" w:rsidRDefault="00A44FB2" w:rsidP="00A44FB2">
      <w:pPr>
        <w:overflowPunct/>
        <w:autoSpaceDE/>
        <w:autoSpaceDN/>
        <w:adjustRightInd/>
        <w:spacing w:line="360" w:lineRule="auto"/>
        <w:ind w:left="720"/>
        <w:contextualSpacing/>
        <w:jc w:val="both"/>
        <w:textAlignment w:val="auto"/>
        <w:rPr>
          <w:sz w:val="20"/>
          <w:lang w:eastAsia="en-US"/>
        </w:rPr>
      </w:pPr>
      <w:r w:rsidRPr="00A44FB2">
        <w:rPr>
          <w:sz w:val="20"/>
          <w:lang w:eastAsia="en-US"/>
        </w:rPr>
        <w:t>Schülerinnen und Schüler, sowie Lehrkräfte sind durch die Vielfalt der aufkeimenden Situationen auf sich gestellt. Regelmäßige Beratungsangebote stabilisieren das Schulsystem.</w:t>
      </w:r>
    </w:p>
    <w:p w14:paraId="0BE58343" w14:textId="77777777" w:rsidR="00A44FB2" w:rsidRPr="00A44FB2" w:rsidRDefault="00A44FB2" w:rsidP="00A44FB2">
      <w:pPr>
        <w:overflowPunct/>
        <w:autoSpaceDE/>
        <w:autoSpaceDN/>
        <w:adjustRightInd/>
        <w:spacing w:line="360" w:lineRule="auto"/>
        <w:ind w:left="720"/>
        <w:contextualSpacing/>
        <w:jc w:val="both"/>
        <w:textAlignment w:val="auto"/>
        <w:rPr>
          <w:sz w:val="20"/>
          <w:lang w:eastAsia="en-US"/>
        </w:rPr>
      </w:pPr>
    </w:p>
    <w:p w14:paraId="7EE94F31" w14:textId="77777777" w:rsidR="00A44FB2" w:rsidRPr="00A44FB2" w:rsidRDefault="00A44FB2" w:rsidP="00A44FB2">
      <w:pPr>
        <w:numPr>
          <w:ilvl w:val="0"/>
          <w:numId w:val="12"/>
        </w:numPr>
        <w:overflowPunct/>
        <w:autoSpaceDE/>
        <w:autoSpaceDN/>
        <w:adjustRightInd/>
        <w:spacing w:line="360" w:lineRule="auto"/>
        <w:contextualSpacing/>
        <w:jc w:val="both"/>
        <w:textAlignment w:val="auto"/>
        <w:rPr>
          <w:b/>
          <w:sz w:val="20"/>
          <w:lang w:eastAsia="en-US"/>
        </w:rPr>
      </w:pPr>
      <w:r w:rsidRPr="00A44FB2">
        <w:rPr>
          <w:b/>
          <w:sz w:val="20"/>
          <w:lang w:eastAsia="en-US"/>
        </w:rPr>
        <w:t>Verwaltung:</w:t>
      </w:r>
    </w:p>
    <w:p w14:paraId="5790114C" w14:textId="77777777" w:rsidR="00A44FB2" w:rsidRPr="00A44FB2" w:rsidRDefault="00A44FB2" w:rsidP="00A44FB2">
      <w:pPr>
        <w:overflowPunct/>
        <w:autoSpaceDE/>
        <w:autoSpaceDN/>
        <w:adjustRightInd/>
        <w:spacing w:line="360" w:lineRule="auto"/>
        <w:ind w:left="720"/>
        <w:contextualSpacing/>
        <w:jc w:val="both"/>
        <w:textAlignment w:val="auto"/>
        <w:rPr>
          <w:sz w:val="20"/>
          <w:lang w:eastAsia="en-US"/>
        </w:rPr>
      </w:pPr>
      <w:r w:rsidRPr="00A44FB2">
        <w:rPr>
          <w:sz w:val="20"/>
          <w:lang w:eastAsia="en-US"/>
        </w:rPr>
        <w:t>Die Schulsekretariate haben viele Aufgaben. Viele andere Aufgaben müssen von Lehrer:innen übernommen werden. Ausgebildete Verwaltungsfachkräfte, die unabhängig vom Sekretariat Verwaltungsaufgaben übernehmen, würden einen wichtigen Beitrag zur Entlastung der Lehrkräfte leisten, sodass das Kerngeschäft (Unterricht) mehr Zeit beanspruchen könnte.</w:t>
      </w:r>
    </w:p>
    <w:p w14:paraId="4CF46C3F" w14:textId="77777777" w:rsidR="00A44FB2" w:rsidRPr="00A44FB2" w:rsidRDefault="00A44FB2" w:rsidP="00A44FB2">
      <w:pPr>
        <w:overflowPunct/>
        <w:autoSpaceDE/>
        <w:autoSpaceDN/>
        <w:adjustRightInd/>
        <w:spacing w:line="360" w:lineRule="auto"/>
        <w:ind w:left="720"/>
        <w:contextualSpacing/>
        <w:jc w:val="both"/>
        <w:textAlignment w:val="auto"/>
        <w:rPr>
          <w:sz w:val="20"/>
          <w:lang w:eastAsia="en-US"/>
        </w:rPr>
      </w:pPr>
      <w:r w:rsidRPr="00A44FB2">
        <w:rPr>
          <w:sz w:val="20"/>
          <w:lang w:eastAsia="en-US"/>
        </w:rPr>
        <w:t>Zudem könnten auch Kooperationen verwaltet werden, sodass ggfs. mehr Kooperationen von bspw. Vereinen und Schulen, Ausbildungsbetrieben und Schulen etc. aufrechterhalten werden können.</w:t>
      </w:r>
    </w:p>
    <w:p w14:paraId="57E98C58" w14:textId="77777777" w:rsidR="00A44FB2" w:rsidRPr="00A44FB2" w:rsidRDefault="00A44FB2" w:rsidP="00A44FB2">
      <w:pPr>
        <w:overflowPunct/>
        <w:autoSpaceDE/>
        <w:autoSpaceDN/>
        <w:adjustRightInd/>
        <w:spacing w:line="360" w:lineRule="auto"/>
        <w:ind w:left="720"/>
        <w:contextualSpacing/>
        <w:jc w:val="both"/>
        <w:textAlignment w:val="auto"/>
        <w:rPr>
          <w:b/>
          <w:sz w:val="20"/>
          <w:lang w:eastAsia="en-US"/>
        </w:rPr>
      </w:pPr>
    </w:p>
    <w:p w14:paraId="35B9F58B" w14:textId="77777777" w:rsidR="00A44FB2" w:rsidRPr="00A44FB2" w:rsidRDefault="00A44FB2" w:rsidP="00A44FB2">
      <w:pPr>
        <w:numPr>
          <w:ilvl w:val="0"/>
          <w:numId w:val="12"/>
        </w:numPr>
        <w:overflowPunct/>
        <w:autoSpaceDE/>
        <w:autoSpaceDN/>
        <w:adjustRightInd/>
        <w:spacing w:line="360" w:lineRule="auto"/>
        <w:contextualSpacing/>
        <w:jc w:val="both"/>
        <w:textAlignment w:val="auto"/>
        <w:rPr>
          <w:b/>
          <w:sz w:val="20"/>
          <w:lang w:eastAsia="en-US"/>
        </w:rPr>
      </w:pPr>
      <w:r w:rsidRPr="00A44FB2">
        <w:rPr>
          <w:b/>
          <w:sz w:val="20"/>
          <w:lang w:eastAsia="en-US"/>
        </w:rPr>
        <w:t>Sonderpädagog:innen:</w:t>
      </w:r>
    </w:p>
    <w:p w14:paraId="3A0DACB7" w14:textId="77777777" w:rsidR="00A44FB2" w:rsidRPr="00A44FB2" w:rsidRDefault="00A44FB2" w:rsidP="00A44FB2">
      <w:pPr>
        <w:overflowPunct/>
        <w:autoSpaceDE/>
        <w:autoSpaceDN/>
        <w:adjustRightInd/>
        <w:spacing w:line="360" w:lineRule="auto"/>
        <w:ind w:left="720"/>
        <w:contextualSpacing/>
        <w:jc w:val="both"/>
        <w:textAlignment w:val="auto"/>
        <w:rPr>
          <w:b/>
          <w:sz w:val="20"/>
          <w:lang w:eastAsia="en-US"/>
        </w:rPr>
      </w:pPr>
      <w:r w:rsidRPr="00A44FB2">
        <w:rPr>
          <w:sz w:val="20"/>
          <w:lang w:eastAsia="en-US"/>
        </w:rPr>
        <w:t>bekannte Debatte —&gt; muss attraktiver gestaltet werden (eigene Debatte)</w:t>
      </w:r>
    </w:p>
    <w:p w14:paraId="39A7AC71" w14:textId="77777777" w:rsidR="00A44FB2" w:rsidRPr="00A44FB2" w:rsidRDefault="00A44FB2" w:rsidP="00A44FB2">
      <w:pPr>
        <w:overflowPunct/>
        <w:autoSpaceDE/>
        <w:autoSpaceDN/>
        <w:adjustRightInd/>
        <w:spacing w:line="360" w:lineRule="auto"/>
        <w:ind w:left="720"/>
        <w:contextualSpacing/>
        <w:jc w:val="both"/>
        <w:textAlignment w:val="auto"/>
        <w:rPr>
          <w:b/>
          <w:sz w:val="20"/>
          <w:lang w:eastAsia="en-US"/>
        </w:rPr>
      </w:pPr>
    </w:p>
    <w:p w14:paraId="708F3B39" w14:textId="77777777" w:rsidR="00A44FB2" w:rsidRPr="00A44FB2" w:rsidRDefault="00A44FB2" w:rsidP="00A44FB2">
      <w:pPr>
        <w:numPr>
          <w:ilvl w:val="0"/>
          <w:numId w:val="12"/>
        </w:numPr>
        <w:overflowPunct/>
        <w:autoSpaceDE/>
        <w:autoSpaceDN/>
        <w:adjustRightInd/>
        <w:spacing w:line="360" w:lineRule="auto"/>
        <w:contextualSpacing/>
        <w:jc w:val="both"/>
        <w:textAlignment w:val="auto"/>
        <w:rPr>
          <w:b/>
          <w:sz w:val="20"/>
          <w:lang w:eastAsia="en-US"/>
        </w:rPr>
      </w:pPr>
      <w:r w:rsidRPr="00A44FB2">
        <w:rPr>
          <w:b/>
          <w:sz w:val="20"/>
          <w:lang w:eastAsia="en-US"/>
        </w:rPr>
        <w:lastRenderedPageBreak/>
        <w:t>Ergo-, Logopädie und motorische Therapie:</w:t>
      </w:r>
    </w:p>
    <w:p w14:paraId="41DFE12F" w14:textId="77777777" w:rsidR="00A44FB2" w:rsidRPr="00A44FB2" w:rsidRDefault="00A44FB2" w:rsidP="00A44FB2">
      <w:pPr>
        <w:overflowPunct/>
        <w:autoSpaceDE/>
        <w:autoSpaceDN/>
        <w:adjustRightInd/>
        <w:spacing w:line="360" w:lineRule="auto"/>
        <w:ind w:left="720"/>
        <w:contextualSpacing/>
        <w:jc w:val="both"/>
        <w:textAlignment w:val="auto"/>
        <w:rPr>
          <w:b/>
          <w:sz w:val="20"/>
          <w:lang w:eastAsia="en-US"/>
        </w:rPr>
      </w:pPr>
      <w:r w:rsidRPr="00A44FB2">
        <w:rPr>
          <w:sz w:val="20"/>
          <w:lang w:eastAsia="en-US"/>
        </w:rPr>
        <w:t>Besonders während Corona, aber auch schon im Vorfeld, haben sich Kinder und Jugendliche zunehmend ins häusliche Umfeld und hinter technische Geräte (Spielkonsole oder Computer) zurückgezogen. Dadurch entstanden und entstehen verschiedene zusätzliche Förderbedarfe, die im Sport- und Deutschunterricht und so weiter aufgefangen werden, aber eigentlich von Professionen bearbeitet werden sollten. Eine schulnahe und unkomplizierte Therapie würde es den Schüler:innen erleichtern, sich auf den Unterricht zu konzentrieren und eine erfolgreichere Schullaufbahn zu begehen.</w:t>
      </w:r>
    </w:p>
    <w:p w14:paraId="085A8060" w14:textId="44CE9C12" w:rsidR="008F03DF" w:rsidRPr="00A473DC" w:rsidRDefault="008F03DF" w:rsidP="00A752C5">
      <w:pPr>
        <w:tabs>
          <w:tab w:val="left" w:pos="284"/>
        </w:tabs>
        <w:spacing w:line="360" w:lineRule="auto"/>
        <w:rPr>
          <w:sz w:val="20"/>
        </w:rPr>
      </w:pP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ook">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27D8" w14:textId="77777777" w:rsidR="00B4335C" w:rsidRDefault="00B433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DB8C" w14:textId="77777777" w:rsidR="00B4335C" w:rsidRDefault="00B433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C4F" w14:textId="77777777" w:rsidR="00B4335C" w:rsidRDefault="00B43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A5CE" w14:textId="77777777" w:rsidR="00B4335C" w:rsidRDefault="00B433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1697446" w14:textId="1BAAACA7" w:rsidR="00213372" w:rsidRDefault="00B4335C" w:rsidP="00A82DBD">
    <w:pPr>
      <w:tabs>
        <w:tab w:val="left" w:pos="0"/>
      </w:tabs>
      <w:ind w:left="284" w:right="425"/>
      <w:jc w:val="center"/>
      <w:rPr>
        <w:b/>
        <w:sz w:val="20"/>
      </w:rPr>
    </w:pPr>
    <w:r>
      <w:rPr>
        <w:b/>
        <w:sz w:val="20"/>
      </w:rPr>
      <w:t>B</w:t>
    </w:r>
    <w:r w:rsidR="00A44FB2">
      <w:rPr>
        <w:b/>
        <w:sz w:val="20"/>
      </w:rPr>
      <w:t>11: Schule der Zukunft</w:t>
    </w:r>
  </w:p>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A292A"/>
    <w:multiLevelType w:val="hybridMultilevel"/>
    <w:tmpl w:val="BB80A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BB5EB2"/>
    <w:multiLevelType w:val="hybridMultilevel"/>
    <w:tmpl w:val="A13CF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8"/>
  </w:num>
  <w:num w:numId="6">
    <w:abstractNumId w:val="11"/>
  </w:num>
  <w:num w:numId="7">
    <w:abstractNumId w:val="6"/>
  </w:num>
  <w:num w:numId="8">
    <w:abstractNumId w:val="2"/>
  </w:num>
  <w:num w:numId="9">
    <w:abstractNumId w:val="9"/>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1D6DEC"/>
    <w:rsid w:val="001E1CC6"/>
    <w:rsid w:val="00213372"/>
    <w:rsid w:val="0023362D"/>
    <w:rsid w:val="002E5DAC"/>
    <w:rsid w:val="00383221"/>
    <w:rsid w:val="00383CEF"/>
    <w:rsid w:val="003D5034"/>
    <w:rsid w:val="0041014B"/>
    <w:rsid w:val="0046531B"/>
    <w:rsid w:val="004A495F"/>
    <w:rsid w:val="00657399"/>
    <w:rsid w:val="006C1BE6"/>
    <w:rsid w:val="006E1E8B"/>
    <w:rsid w:val="006E4C07"/>
    <w:rsid w:val="00712146"/>
    <w:rsid w:val="007879A9"/>
    <w:rsid w:val="00792926"/>
    <w:rsid w:val="007C7896"/>
    <w:rsid w:val="00816748"/>
    <w:rsid w:val="0089479A"/>
    <w:rsid w:val="008B3CB3"/>
    <w:rsid w:val="008F03DF"/>
    <w:rsid w:val="00923690"/>
    <w:rsid w:val="00943E94"/>
    <w:rsid w:val="00A00BE1"/>
    <w:rsid w:val="00A010EF"/>
    <w:rsid w:val="00A10F4B"/>
    <w:rsid w:val="00A44FB2"/>
    <w:rsid w:val="00A473DC"/>
    <w:rsid w:val="00A752C5"/>
    <w:rsid w:val="00A82DBD"/>
    <w:rsid w:val="00B4335C"/>
    <w:rsid w:val="00B51EFE"/>
    <w:rsid w:val="00B7548D"/>
    <w:rsid w:val="00B8027E"/>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3502</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Untrbezirksparteitag der SPD Remscheid zur Sozialpolitik</vt:lpstr>
    </vt:vector>
  </TitlesOfParts>
  <Company>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2022-10-19T10:33:00Z</dcterms:created>
  <dcterms:modified xsi:type="dcterms:W3CDTF">2022-10-19T10:34:00Z</dcterms:modified>
</cp:coreProperties>
</file>